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D5C68" w14:textId="2154D1F3" w:rsidR="00C03314" w:rsidRPr="008526F3" w:rsidRDefault="00C03314">
      <w:pPr>
        <w:rPr>
          <w:rFonts w:ascii="Seaford" w:hAnsi="Seaford"/>
          <w:b/>
          <w:bCs/>
          <w:sz w:val="28"/>
          <w:szCs w:val="28"/>
        </w:rPr>
      </w:pPr>
      <w:bookmarkStart w:id="0" w:name="_Hlk98424812"/>
      <w:r w:rsidRPr="008526F3">
        <w:rPr>
          <w:rFonts w:ascii="Seaford" w:hAnsi="Seaford"/>
          <w:b/>
          <w:bCs/>
          <w:sz w:val="28"/>
          <w:szCs w:val="28"/>
        </w:rPr>
        <w:t>Co-Sponsored Session: Queer Studies in Religion and Disabilities Studies</w:t>
      </w:r>
    </w:p>
    <w:p w14:paraId="1D248966" w14:textId="6A92D7A8" w:rsidR="00C03314" w:rsidRDefault="00C03314">
      <w:pPr>
        <w:rPr>
          <w:rFonts w:ascii="Seaford" w:hAnsi="Seaford"/>
          <w:b/>
          <w:bCs/>
          <w:sz w:val="28"/>
          <w:szCs w:val="28"/>
        </w:rPr>
      </w:pPr>
      <w:r w:rsidRPr="008526F3">
        <w:rPr>
          <w:rFonts w:ascii="Seaford" w:hAnsi="Seaford"/>
          <w:b/>
          <w:bCs/>
          <w:sz w:val="28"/>
          <w:szCs w:val="28"/>
        </w:rPr>
        <w:t>Allyship – Advocacy – Accessibility in Disability Studies</w:t>
      </w:r>
    </w:p>
    <w:p w14:paraId="1E68440A" w14:textId="77777777" w:rsidR="008526F3" w:rsidRPr="008526F3" w:rsidRDefault="008526F3">
      <w:pPr>
        <w:rPr>
          <w:rFonts w:ascii="Seaford" w:hAnsi="Seaford"/>
          <w:b/>
          <w:bCs/>
          <w:sz w:val="28"/>
          <w:szCs w:val="28"/>
        </w:rPr>
      </w:pPr>
    </w:p>
    <w:bookmarkEnd w:id="0"/>
    <w:p w14:paraId="2CD8F7F8" w14:textId="74FFCB76" w:rsidR="00C03314" w:rsidRPr="002401D9" w:rsidRDefault="00C03314">
      <w:pPr>
        <w:rPr>
          <w:rFonts w:ascii="Seaford" w:hAnsi="Seaford"/>
          <w:sz w:val="24"/>
          <w:szCs w:val="24"/>
          <w:u w:val="single"/>
        </w:rPr>
      </w:pPr>
      <w:r w:rsidRPr="002401D9">
        <w:rPr>
          <w:rFonts w:ascii="Seaford" w:hAnsi="Seaford"/>
          <w:sz w:val="24"/>
          <w:szCs w:val="24"/>
          <w:u w:val="single"/>
        </w:rPr>
        <w:t>A History of Disability Studies</w:t>
      </w:r>
      <w:r w:rsidR="00271DF9">
        <w:rPr>
          <w:rFonts w:ascii="Seaford" w:hAnsi="Seaford"/>
          <w:sz w:val="24"/>
          <w:szCs w:val="24"/>
          <w:u w:val="single"/>
        </w:rPr>
        <w:t>:</w:t>
      </w:r>
    </w:p>
    <w:p w14:paraId="453FF914" w14:textId="79855A40" w:rsidR="00C03314" w:rsidRDefault="002401D9">
      <w:pPr>
        <w:rPr>
          <w:rFonts w:ascii="Seaford" w:hAnsi="Seaford"/>
          <w:sz w:val="24"/>
          <w:szCs w:val="24"/>
        </w:rPr>
      </w:pPr>
      <w:r w:rsidRPr="002401D9">
        <w:rPr>
          <w:rFonts w:ascii="Seaford" w:hAnsi="Seaford"/>
          <w:sz w:val="24"/>
          <w:szCs w:val="24"/>
        </w:rPr>
        <w:t xml:space="preserve">The </w:t>
      </w:r>
      <w:r w:rsidR="00902CBD">
        <w:rPr>
          <w:rFonts w:ascii="Seaford" w:hAnsi="Seaford"/>
          <w:sz w:val="24"/>
          <w:szCs w:val="24"/>
        </w:rPr>
        <w:t xml:space="preserve">academic </w:t>
      </w:r>
      <w:r w:rsidRPr="002401D9">
        <w:rPr>
          <w:rFonts w:ascii="Seaford" w:hAnsi="Seaford"/>
          <w:sz w:val="24"/>
          <w:szCs w:val="24"/>
        </w:rPr>
        <w:t>field of Disability Studies arose</w:t>
      </w:r>
      <w:r w:rsidR="00902CBD">
        <w:rPr>
          <w:rFonts w:ascii="Seaford" w:hAnsi="Seaford"/>
          <w:sz w:val="24"/>
          <w:szCs w:val="24"/>
        </w:rPr>
        <w:t xml:space="preserve"> primarily</w:t>
      </w:r>
      <w:r w:rsidRPr="002401D9">
        <w:rPr>
          <w:rFonts w:ascii="Seaford" w:hAnsi="Seaford"/>
          <w:sz w:val="24"/>
          <w:szCs w:val="24"/>
        </w:rPr>
        <w:t xml:space="preserve"> from the disability activist movement of the 1960s and 1970s in the United States and the UK. </w:t>
      </w:r>
      <w:r>
        <w:rPr>
          <w:rFonts w:ascii="Seaford" w:hAnsi="Seaford"/>
          <w:sz w:val="24"/>
          <w:szCs w:val="24"/>
        </w:rPr>
        <w:t xml:space="preserve"> </w:t>
      </w:r>
    </w:p>
    <w:p w14:paraId="0BE4451C" w14:textId="4F3C0063" w:rsidR="00782CB3" w:rsidRDefault="00782CB3">
      <w:pPr>
        <w:rPr>
          <w:rFonts w:ascii="Seaford" w:hAnsi="Seaford"/>
          <w:sz w:val="24"/>
          <w:szCs w:val="24"/>
        </w:rPr>
      </w:pPr>
    </w:p>
    <w:p w14:paraId="4BE7BF2A" w14:textId="0A62B96E" w:rsidR="00782CB3" w:rsidRDefault="00782CB3">
      <w:pPr>
        <w:rPr>
          <w:rFonts w:ascii="Seaford" w:hAnsi="Seaford"/>
          <w:sz w:val="24"/>
          <w:szCs w:val="24"/>
        </w:rPr>
      </w:pPr>
      <w:r>
        <w:rPr>
          <w:noProof/>
        </w:rPr>
        <w:drawing>
          <wp:inline distT="0" distB="0" distL="0" distR="0" wp14:anchorId="14647CA1" wp14:editId="67855C27">
            <wp:extent cx="2904945" cy="1935699"/>
            <wp:effectExtent l="133350" t="76200" r="86360" b="140970"/>
            <wp:docPr id="1" name="Picture 1" descr="Protesters demonstrating in favor of signing section 504. Most are wheelchair users and are holding protest signs. The main sign says, &quot;We shall overcom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otesters demonstrating in favor of signing section 504. Most are wheelchair users and are holding protest signs. The main sign says, &quot;We shall overcome.&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0645" cy="195282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08705814" w14:textId="0A16FFF0" w:rsidR="00782CB3" w:rsidRDefault="00782CB3">
      <w:pPr>
        <w:rPr>
          <w:rFonts w:ascii="Seaford" w:hAnsi="Seaford"/>
          <w:sz w:val="24"/>
          <w:szCs w:val="24"/>
        </w:rPr>
      </w:pPr>
      <w:r>
        <w:rPr>
          <w:rFonts w:ascii="Seaford" w:hAnsi="Seaford"/>
          <w:sz w:val="24"/>
          <w:szCs w:val="24"/>
        </w:rPr>
        <w:t xml:space="preserve">Pictured: Protestors in favor of signing Section 504 in 1977. Most are wheelchair users and have signs saying things like, “We shall overcome” or “Equal Opportunity.” Photo by Anthony Tusler via </w:t>
      </w:r>
      <w:r w:rsidRPr="007C66AE">
        <w:rPr>
          <w:rFonts w:ascii="Seaford" w:hAnsi="Seaford"/>
          <w:i/>
          <w:iCs/>
          <w:sz w:val="24"/>
          <w:szCs w:val="24"/>
        </w:rPr>
        <w:t>Atlas Obscura</w:t>
      </w:r>
      <w:r>
        <w:rPr>
          <w:rFonts w:ascii="Seaford" w:hAnsi="Seaford"/>
          <w:sz w:val="24"/>
          <w:szCs w:val="24"/>
        </w:rPr>
        <w:t xml:space="preserve">. </w:t>
      </w:r>
      <w:hyperlink r:id="rId9" w:history="1">
        <w:r w:rsidRPr="00782CB3">
          <w:rPr>
            <w:rStyle w:val="Hyperlink"/>
            <w:rFonts w:ascii="Seaford" w:hAnsi="Seaford"/>
            <w:sz w:val="24"/>
            <w:szCs w:val="24"/>
          </w:rPr>
          <w:t>Find photo here.</w:t>
        </w:r>
      </w:hyperlink>
      <w:r>
        <w:rPr>
          <w:rFonts w:ascii="Seaford" w:hAnsi="Seaford"/>
          <w:sz w:val="24"/>
          <w:szCs w:val="24"/>
        </w:rPr>
        <w:t xml:space="preserve"> </w:t>
      </w:r>
    </w:p>
    <w:p w14:paraId="175C41CB" w14:textId="77777777" w:rsidR="008526F3" w:rsidRDefault="008526F3"/>
    <w:p w14:paraId="71B9A02F" w14:textId="3AD84F05" w:rsidR="00706D6E" w:rsidRDefault="003F78C5">
      <w:pPr>
        <w:rPr>
          <w:rFonts w:ascii="Seaford" w:hAnsi="Seaford"/>
          <w:sz w:val="24"/>
          <w:szCs w:val="24"/>
        </w:rPr>
      </w:pPr>
      <w:hyperlink r:id="rId10" w:history="1">
        <w:r w:rsidR="00782CB3" w:rsidRPr="00706D6E">
          <w:rPr>
            <w:rStyle w:val="Hyperlink"/>
            <w:rFonts w:ascii="Seaford" w:hAnsi="Seaford"/>
            <w:sz w:val="24"/>
            <w:szCs w:val="24"/>
          </w:rPr>
          <w:t>Americans with Disabilities Act</w:t>
        </w:r>
      </w:hyperlink>
      <w:r w:rsidR="00782CB3">
        <w:rPr>
          <w:rFonts w:ascii="Seaford" w:hAnsi="Seaford"/>
          <w:sz w:val="24"/>
          <w:szCs w:val="24"/>
        </w:rPr>
        <w:t xml:space="preserve">, signed by President George H.W. Bush </w:t>
      </w:r>
      <w:r w:rsidR="00706D6E">
        <w:rPr>
          <w:rFonts w:ascii="Seaford" w:hAnsi="Seaford"/>
          <w:sz w:val="24"/>
          <w:szCs w:val="24"/>
        </w:rPr>
        <w:t xml:space="preserve">in 1990, offers protection of disabled people’s civil rights and prohibits discrimination against them while providing definitions of disability. </w:t>
      </w:r>
    </w:p>
    <w:p w14:paraId="70C19F10" w14:textId="07B6F32C" w:rsidR="00706D6E" w:rsidRPr="00706D6E" w:rsidRDefault="00706D6E" w:rsidP="00706D6E">
      <w:pPr>
        <w:rPr>
          <w:rFonts w:ascii="Seaford" w:hAnsi="Seaford"/>
          <w:sz w:val="24"/>
          <w:szCs w:val="24"/>
        </w:rPr>
      </w:pPr>
      <w:r>
        <w:rPr>
          <w:rFonts w:ascii="Seaford" w:hAnsi="Seaford"/>
          <w:sz w:val="24"/>
          <w:szCs w:val="24"/>
        </w:rPr>
        <w:t>“</w:t>
      </w:r>
      <w:r w:rsidRPr="00706D6E">
        <w:rPr>
          <w:rFonts w:ascii="Seaford" w:hAnsi="Seaford"/>
          <w:sz w:val="24"/>
          <w:szCs w:val="24"/>
        </w:rPr>
        <w:t>A person with a disability is someone who:</w:t>
      </w:r>
    </w:p>
    <w:p w14:paraId="4F0019CE" w14:textId="77777777" w:rsidR="00706D6E" w:rsidRPr="00706D6E" w:rsidRDefault="00706D6E" w:rsidP="00706D6E">
      <w:pPr>
        <w:numPr>
          <w:ilvl w:val="0"/>
          <w:numId w:val="1"/>
        </w:numPr>
        <w:rPr>
          <w:rFonts w:ascii="Seaford" w:hAnsi="Seaford"/>
          <w:sz w:val="24"/>
          <w:szCs w:val="24"/>
        </w:rPr>
      </w:pPr>
      <w:r w:rsidRPr="00706D6E">
        <w:rPr>
          <w:rFonts w:ascii="Seaford" w:hAnsi="Seaford"/>
          <w:sz w:val="24"/>
          <w:szCs w:val="24"/>
        </w:rPr>
        <w:t>has a physical or mental impairment that substantially limits one or more major life activities,</w:t>
      </w:r>
    </w:p>
    <w:p w14:paraId="51EACA61" w14:textId="77777777" w:rsidR="00706D6E" w:rsidRPr="00706D6E" w:rsidRDefault="00706D6E" w:rsidP="00706D6E">
      <w:pPr>
        <w:numPr>
          <w:ilvl w:val="0"/>
          <w:numId w:val="1"/>
        </w:numPr>
        <w:rPr>
          <w:rFonts w:ascii="Seaford" w:hAnsi="Seaford"/>
          <w:sz w:val="24"/>
          <w:szCs w:val="24"/>
        </w:rPr>
      </w:pPr>
      <w:r w:rsidRPr="00706D6E">
        <w:rPr>
          <w:rFonts w:ascii="Seaford" w:hAnsi="Seaford"/>
          <w:sz w:val="24"/>
          <w:szCs w:val="24"/>
        </w:rPr>
        <w:t>has a history or record of such an impairment (such as cancer that is in remission), or</w:t>
      </w:r>
    </w:p>
    <w:p w14:paraId="3762BD36" w14:textId="711E904D" w:rsidR="00706D6E" w:rsidRPr="00706D6E" w:rsidRDefault="00706D6E" w:rsidP="00706D6E">
      <w:pPr>
        <w:numPr>
          <w:ilvl w:val="0"/>
          <w:numId w:val="1"/>
        </w:numPr>
        <w:rPr>
          <w:rFonts w:ascii="Seaford" w:hAnsi="Seaford"/>
          <w:sz w:val="24"/>
          <w:szCs w:val="24"/>
        </w:rPr>
      </w:pPr>
      <w:r w:rsidRPr="00706D6E">
        <w:rPr>
          <w:rFonts w:ascii="Seaford" w:hAnsi="Seaford"/>
          <w:sz w:val="24"/>
          <w:szCs w:val="24"/>
        </w:rPr>
        <w:lastRenderedPageBreak/>
        <w:t>is perceived by others as having such an impairment (such as a person who has scars from a severe burn).</w:t>
      </w:r>
      <w:r>
        <w:rPr>
          <w:rFonts w:ascii="Seaford" w:hAnsi="Seaford"/>
          <w:sz w:val="24"/>
          <w:szCs w:val="24"/>
        </w:rPr>
        <w:t>”</w:t>
      </w:r>
      <w:r w:rsidR="00CB2B62">
        <w:rPr>
          <w:rStyle w:val="FootnoteReference"/>
          <w:rFonts w:ascii="Seaford" w:hAnsi="Seaford"/>
          <w:sz w:val="24"/>
          <w:szCs w:val="24"/>
        </w:rPr>
        <w:footnoteReference w:id="1"/>
      </w:r>
    </w:p>
    <w:p w14:paraId="6755D280" w14:textId="77777777" w:rsidR="00706D6E" w:rsidRDefault="00706D6E">
      <w:pPr>
        <w:rPr>
          <w:rFonts w:ascii="Seaford" w:hAnsi="Seaford"/>
          <w:sz w:val="24"/>
          <w:szCs w:val="24"/>
        </w:rPr>
      </w:pPr>
    </w:p>
    <w:p w14:paraId="6E9254D3" w14:textId="4CCB8526" w:rsidR="00782CB3" w:rsidRDefault="00706D6E">
      <w:pPr>
        <w:rPr>
          <w:rFonts w:ascii="Seaford" w:hAnsi="Seaford"/>
          <w:sz w:val="24"/>
          <w:szCs w:val="24"/>
        </w:rPr>
      </w:pPr>
      <w:r>
        <w:rPr>
          <w:rFonts w:ascii="Seaford" w:hAnsi="Seaford"/>
          <w:sz w:val="24"/>
          <w:szCs w:val="24"/>
        </w:rPr>
        <w:t xml:space="preserve">  </w:t>
      </w:r>
      <w:r w:rsidR="005A575B">
        <w:rPr>
          <w:rFonts w:ascii="Seaford" w:hAnsi="Seaford"/>
          <w:sz w:val="24"/>
          <w:szCs w:val="24"/>
        </w:rPr>
        <w:t>Disability itself does not discriminate and so is intersectional by nature. Looking at the participants of the 1977 Section 504 protest is a terrific example. People of all backgrounds participated, and Black Panthers helped protestors sustain their</w:t>
      </w:r>
      <w:r w:rsidR="00540BED">
        <w:rPr>
          <w:rFonts w:ascii="Seaford" w:hAnsi="Seaford"/>
          <w:sz w:val="24"/>
          <w:szCs w:val="24"/>
        </w:rPr>
        <w:t xml:space="preserve"> sit-in </w:t>
      </w:r>
      <w:r w:rsidR="005A575B">
        <w:rPr>
          <w:rFonts w:ascii="Seaford" w:hAnsi="Seaford"/>
          <w:sz w:val="24"/>
          <w:szCs w:val="24"/>
        </w:rPr>
        <w:t>energy by bringing them food and other supplies. Disability studies as a field should not remain homogenous and should reflect all peoples’ experiences.</w:t>
      </w:r>
    </w:p>
    <w:p w14:paraId="36BFEC61" w14:textId="7BDC1C74" w:rsidR="00A7340E" w:rsidRDefault="00A7340E">
      <w:pPr>
        <w:rPr>
          <w:rFonts w:ascii="Seaford" w:hAnsi="Seaford"/>
          <w:sz w:val="24"/>
          <w:szCs w:val="24"/>
        </w:rPr>
      </w:pPr>
    </w:p>
    <w:p w14:paraId="7CAEDDEA" w14:textId="62B03A7E" w:rsidR="00540BED" w:rsidRPr="00A7340E" w:rsidRDefault="00A7340E">
      <w:pPr>
        <w:rPr>
          <w:rFonts w:ascii="Seaford" w:hAnsi="Seaford"/>
          <w:sz w:val="24"/>
          <w:szCs w:val="24"/>
          <w:u w:val="single"/>
        </w:rPr>
      </w:pPr>
      <w:r w:rsidRPr="00A7340E">
        <w:rPr>
          <w:rFonts w:ascii="Seaford" w:hAnsi="Seaford"/>
          <w:sz w:val="24"/>
          <w:szCs w:val="24"/>
          <w:u w:val="single"/>
        </w:rPr>
        <w:t>On My Reading List:</w:t>
      </w:r>
    </w:p>
    <w:p w14:paraId="7E9CC5E9" w14:textId="62BA642F" w:rsidR="00540BED" w:rsidRPr="00A7340E" w:rsidRDefault="006257A5">
      <w:pPr>
        <w:rPr>
          <w:rFonts w:ascii="Seaford" w:hAnsi="Seaford"/>
          <w:sz w:val="24"/>
          <w:szCs w:val="24"/>
        </w:rPr>
      </w:pPr>
      <w:r>
        <w:rPr>
          <w:rFonts w:ascii="Seaford" w:hAnsi="Seaford"/>
          <w:sz w:val="24"/>
          <w:szCs w:val="24"/>
        </w:rPr>
        <w:t>Hardwick</w:t>
      </w:r>
      <w:r w:rsidR="00A7340E">
        <w:rPr>
          <w:rFonts w:ascii="Seaford" w:hAnsi="Seaford"/>
          <w:sz w:val="24"/>
          <w:szCs w:val="24"/>
        </w:rPr>
        <w:t>,</w:t>
      </w:r>
      <w:r w:rsidR="002B6E43">
        <w:rPr>
          <w:rFonts w:ascii="Seaford" w:hAnsi="Seaford"/>
          <w:sz w:val="24"/>
          <w:szCs w:val="24"/>
        </w:rPr>
        <w:t xml:space="preserve"> Lamar.</w:t>
      </w:r>
      <w:r w:rsidR="00A7340E">
        <w:rPr>
          <w:rFonts w:ascii="Seaford" w:hAnsi="Seaford"/>
          <w:sz w:val="24"/>
          <w:szCs w:val="24"/>
        </w:rPr>
        <w:t xml:space="preserve"> </w:t>
      </w:r>
      <w:r w:rsidR="00A7340E" w:rsidRPr="00A7340E">
        <w:rPr>
          <w:rFonts w:ascii="Seaford" w:hAnsi="Seaford"/>
          <w:i/>
          <w:iCs/>
          <w:sz w:val="24"/>
          <w:szCs w:val="24"/>
        </w:rPr>
        <w:t>Disability and the Church: A Vision for Diversity and Inclusion</w:t>
      </w:r>
      <w:r w:rsidR="00A7340E">
        <w:rPr>
          <w:rFonts w:ascii="Seaford" w:hAnsi="Seaford"/>
          <w:sz w:val="24"/>
          <w:szCs w:val="24"/>
        </w:rPr>
        <w:t xml:space="preserve">, </w:t>
      </w:r>
      <w:r w:rsidR="002B6E43">
        <w:rPr>
          <w:rFonts w:ascii="Seaford" w:hAnsi="Seaford"/>
          <w:sz w:val="24"/>
          <w:szCs w:val="24"/>
        </w:rPr>
        <w:t xml:space="preserve">Downers Grove, IL: </w:t>
      </w:r>
      <w:r w:rsidR="00A7340E">
        <w:rPr>
          <w:rFonts w:ascii="Seaford" w:hAnsi="Seaford"/>
          <w:sz w:val="24"/>
          <w:szCs w:val="24"/>
        </w:rPr>
        <w:t>InterVarsity Press</w:t>
      </w:r>
      <w:r w:rsidR="002B6E43">
        <w:rPr>
          <w:rFonts w:ascii="Seaford" w:hAnsi="Seaford"/>
          <w:sz w:val="24"/>
          <w:szCs w:val="24"/>
        </w:rPr>
        <w:t>, 2021.</w:t>
      </w:r>
    </w:p>
    <w:p w14:paraId="27FAE31E" w14:textId="25925E80" w:rsidR="006257A5" w:rsidRPr="002B6E43" w:rsidRDefault="00460D4A">
      <w:pPr>
        <w:rPr>
          <w:rFonts w:ascii="Seaford" w:hAnsi="Seaford"/>
          <w:sz w:val="24"/>
          <w:szCs w:val="24"/>
        </w:rPr>
      </w:pPr>
      <w:r>
        <w:rPr>
          <w:rFonts w:ascii="Seaford" w:hAnsi="Seaford"/>
          <w:sz w:val="24"/>
          <w:szCs w:val="24"/>
        </w:rPr>
        <w:t>Soon</w:t>
      </w:r>
      <w:r w:rsidR="00A7340E">
        <w:rPr>
          <w:rFonts w:ascii="Seaford" w:hAnsi="Seaford"/>
          <w:sz w:val="24"/>
          <w:szCs w:val="24"/>
        </w:rPr>
        <w:t>,</w:t>
      </w:r>
      <w:r w:rsidR="002B6E43">
        <w:rPr>
          <w:rFonts w:ascii="Seaford" w:hAnsi="Seaford"/>
          <w:sz w:val="24"/>
          <w:szCs w:val="24"/>
        </w:rPr>
        <w:t xml:space="preserve"> Isaac T.</w:t>
      </w:r>
      <w:r w:rsidR="00A7340E">
        <w:rPr>
          <w:rFonts w:ascii="Seaford" w:hAnsi="Seaford"/>
          <w:sz w:val="24"/>
          <w:szCs w:val="24"/>
        </w:rPr>
        <w:t xml:space="preserve"> </w:t>
      </w:r>
      <w:r w:rsidR="002B6E43" w:rsidRPr="002B6E43">
        <w:rPr>
          <w:rFonts w:ascii="Seaford" w:hAnsi="Seaford"/>
          <w:sz w:val="24"/>
          <w:szCs w:val="24"/>
        </w:rPr>
        <w:t>“Disability and New Testament Studies: Reflections, Trajectories, and Possibilities</w:t>
      </w:r>
      <w:r w:rsidR="00EB16C3">
        <w:rPr>
          <w:rFonts w:ascii="Seaford" w:hAnsi="Seaford"/>
          <w:sz w:val="24"/>
          <w:szCs w:val="24"/>
        </w:rPr>
        <w:t>.</w:t>
      </w:r>
      <w:r w:rsidR="002B6E43" w:rsidRPr="002B6E43">
        <w:rPr>
          <w:rFonts w:ascii="Seaford" w:hAnsi="Seaford"/>
          <w:sz w:val="24"/>
          <w:szCs w:val="24"/>
        </w:rPr>
        <w:t xml:space="preserve">” </w:t>
      </w:r>
      <w:r w:rsidR="002B6E43" w:rsidRPr="002B6E43">
        <w:rPr>
          <w:rFonts w:ascii="Seaford" w:hAnsi="Seaford"/>
          <w:i/>
          <w:iCs/>
          <w:sz w:val="24"/>
          <w:szCs w:val="24"/>
        </w:rPr>
        <w:t>Journal of Disability &amp; Religion</w:t>
      </w:r>
      <w:r w:rsidR="002B6E43">
        <w:rPr>
          <w:rFonts w:ascii="Seaford" w:hAnsi="Seaford"/>
          <w:i/>
          <w:iCs/>
          <w:sz w:val="24"/>
          <w:szCs w:val="24"/>
        </w:rPr>
        <w:t xml:space="preserve"> </w:t>
      </w:r>
      <w:r w:rsidR="002B6E43">
        <w:rPr>
          <w:rFonts w:ascii="Seaford" w:hAnsi="Seaford"/>
          <w:sz w:val="24"/>
          <w:szCs w:val="24"/>
        </w:rPr>
        <w:t xml:space="preserve">25 no. 4 (2021): </w:t>
      </w:r>
      <w:r w:rsidR="000A3A0D">
        <w:rPr>
          <w:rFonts w:ascii="Seaford" w:hAnsi="Seaford"/>
          <w:sz w:val="24"/>
          <w:szCs w:val="24"/>
        </w:rPr>
        <w:t>374-387.</w:t>
      </w:r>
    </w:p>
    <w:p w14:paraId="307BEB18" w14:textId="7B401D8D" w:rsidR="00460D4A" w:rsidRDefault="000A3A0D">
      <w:pPr>
        <w:rPr>
          <w:rFonts w:ascii="Seaford" w:hAnsi="Seaford"/>
          <w:sz w:val="24"/>
          <w:szCs w:val="24"/>
        </w:rPr>
      </w:pPr>
      <w:r>
        <w:rPr>
          <w:rFonts w:ascii="Seaford" w:hAnsi="Seaford"/>
          <w:sz w:val="24"/>
          <w:szCs w:val="24"/>
        </w:rPr>
        <w:t>Imhoff, Sarah. “Why Disability Studies Needs to Take Religion Seriously</w:t>
      </w:r>
      <w:r w:rsidR="00EB16C3">
        <w:rPr>
          <w:rFonts w:ascii="Seaford" w:hAnsi="Seaford"/>
          <w:sz w:val="24"/>
          <w:szCs w:val="24"/>
        </w:rPr>
        <w:t>.</w:t>
      </w:r>
      <w:r>
        <w:rPr>
          <w:rFonts w:ascii="Seaford" w:hAnsi="Seaford"/>
          <w:sz w:val="24"/>
          <w:szCs w:val="24"/>
        </w:rPr>
        <w:t xml:space="preserve">” </w:t>
      </w:r>
      <w:r w:rsidRPr="00EB16C3">
        <w:rPr>
          <w:rFonts w:ascii="Seaford" w:hAnsi="Seaford"/>
          <w:i/>
          <w:iCs/>
          <w:sz w:val="24"/>
          <w:szCs w:val="24"/>
        </w:rPr>
        <w:t>Religions</w:t>
      </w:r>
      <w:r>
        <w:rPr>
          <w:rFonts w:ascii="Seaford" w:hAnsi="Seaford"/>
          <w:sz w:val="24"/>
          <w:szCs w:val="24"/>
        </w:rPr>
        <w:t xml:space="preserve"> 8 no. 186 (2017):</w:t>
      </w:r>
      <w:r w:rsidR="00EB16C3">
        <w:rPr>
          <w:rFonts w:ascii="Seaford" w:hAnsi="Seaford"/>
          <w:sz w:val="24"/>
          <w:szCs w:val="24"/>
        </w:rPr>
        <w:t xml:space="preserve"> 1-12.</w:t>
      </w:r>
    </w:p>
    <w:p w14:paraId="6387F4D2" w14:textId="2D5E4C3C" w:rsidR="00460B69" w:rsidRPr="002401D9" w:rsidRDefault="00460B69" w:rsidP="00460B69">
      <w:pPr>
        <w:rPr>
          <w:rFonts w:ascii="Seaford" w:hAnsi="Seaford"/>
          <w:sz w:val="24"/>
          <w:szCs w:val="24"/>
        </w:rPr>
      </w:pPr>
    </w:p>
    <w:p w14:paraId="71C80E2D" w14:textId="1526E44B" w:rsidR="00460B69" w:rsidRPr="008526F3" w:rsidRDefault="00460B69" w:rsidP="00460B69">
      <w:pPr>
        <w:rPr>
          <w:rFonts w:ascii="Seaford" w:hAnsi="Seaford"/>
          <w:b/>
          <w:bCs/>
          <w:sz w:val="28"/>
          <w:szCs w:val="28"/>
        </w:rPr>
      </w:pPr>
      <w:r w:rsidRPr="008526F3">
        <w:rPr>
          <w:rFonts w:ascii="Seaford" w:hAnsi="Seaford"/>
          <w:b/>
          <w:bCs/>
          <w:sz w:val="28"/>
          <w:szCs w:val="28"/>
        </w:rPr>
        <w:t xml:space="preserve">Allyship – Advocacy – Accessibility in </w:t>
      </w:r>
      <w:r w:rsidRPr="008526F3">
        <w:rPr>
          <w:rFonts w:ascii="Seaford" w:hAnsi="Seaford"/>
          <w:b/>
          <w:bCs/>
          <w:sz w:val="28"/>
          <w:szCs w:val="28"/>
        </w:rPr>
        <w:t>Queer</w:t>
      </w:r>
      <w:r w:rsidRPr="008526F3">
        <w:rPr>
          <w:rFonts w:ascii="Seaford" w:hAnsi="Seaford"/>
          <w:b/>
          <w:bCs/>
          <w:sz w:val="28"/>
          <w:szCs w:val="28"/>
        </w:rPr>
        <w:t xml:space="preserve"> Studies</w:t>
      </w:r>
    </w:p>
    <w:p w14:paraId="555ACAA2" w14:textId="77777777" w:rsidR="008526F3" w:rsidRDefault="008526F3">
      <w:pPr>
        <w:rPr>
          <w:rFonts w:ascii="Seaford" w:hAnsi="Seaford"/>
          <w:sz w:val="24"/>
          <w:szCs w:val="24"/>
          <w:u w:val="single"/>
        </w:rPr>
      </w:pPr>
    </w:p>
    <w:p w14:paraId="146A398C" w14:textId="4954CD75" w:rsidR="00F21125" w:rsidRDefault="00F21125">
      <w:pPr>
        <w:rPr>
          <w:rFonts w:ascii="Seaford" w:hAnsi="Seaford"/>
          <w:sz w:val="24"/>
          <w:szCs w:val="24"/>
          <w:u w:val="single"/>
        </w:rPr>
      </w:pPr>
      <w:r>
        <w:rPr>
          <w:rFonts w:ascii="Seaford" w:hAnsi="Seaford"/>
          <w:sz w:val="24"/>
          <w:szCs w:val="24"/>
          <w:u w:val="single"/>
        </w:rPr>
        <w:t xml:space="preserve">A History of </w:t>
      </w:r>
      <w:r w:rsidR="00023A6A">
        <w:rPr>
          <w:rFonts w:ascii="Seaford" w:hAnsi="Seaford"/>
          <w:sz w:val="24"/>
          <w:szCs w:val="24"/>
          <w:u w:val="single"/>
        </w:rPr>
        <w:t>Queer</w:t>
      </w:r>
    </w:p>
    <w:p w14:paraId="1C35A850" w14:textId="62B0B69B" w:rsidR="00F21125" w:rsidRDefault="000E46A3">
      <w:pPr>
        <w:rPr>
          <w:rFonts w:ascii="Seaford" w:hAnsi="Seaford"/>
          <w:sz w:val="24"/>
          <w:szCs w:val="24"/>
        </w:rPr>
      </w:pPr>
      <w:r>
        <w:rPr>
          <w:rFonts w:ascii="Seaford" w:hAnsi="Seaford"/>
          <w:sz w:val="24"/>
          <w:szCs w:val="24"/>
        </w:rPr>
        <w:t xml:space="preserve">The word </w:t>
      </w:r>
      <w:r>
        <w:rPr>
          <w:rFonts w:ascii="Seaford" w:hAnsi="Seaford"/>
          <w:i/>
          <w:iCs/>
          <w:sz w:val="24"/>
          <w:szCs w:val="24"/>
        </w:rPr>
        <w:t>Queer</w:t>
      </w:r>
      <w:r w:rsidR="00F21125">
        <w:rPr>
          <w:rFonts w:ascii="Seaford" w:hAnsi="Seaford"/>
          <w:sz w:val="24"/>
          <w:szCs w:val="24"/>
        </w:rPr>
        <w:t xml:space="preserve"> is an umbrella term which is used to describe people </w:t>
      </w:r>
      <w:r>
        <w:rPr>
          <w:rFonts w:ascii="Seaford" w:hAnsi="Seaford"/>
          <w:sz w:val="24"/>
          <w:szCs w:val="24"/>
        </w:rPr>
        <w:t>who are</w:t>
      </w:r>
      <w:r w:rsidR="00F21125">
        <w:rPr>
          <w:rFonts w:ascii="Seaford" w:hAnsi="Seaford"/>
          <w:sz w:val="24"/>
          <w:szCs w:val="24"/>
        </w:rPr>
        <w:t xml:space="preserve"> not heterosexual, cisgendered. The word originally was used to mean “strange, peculiar, eccentric.” It became a derogatory term during the 19</w:t>
      </w:r>
      <w:r w:rsidR="00F21125" w:rsidRPr="00F21125">
        <w:rPr>
          <w:rFonts w:ascii="Seaford" w:hAnsi="Seaford"/>
          <w:sz w:val="24"/>
          <w:szCs w:val="24"/>
          <w:vertAlign w:val="superscript"/>
        </w:rPr>
        <w:t>th</w:t>
      </w:r>
      <w:r w:rsidR="00F21125">
        <w:rPr>
          <w:rFonts w:ascii="Seaford" w:hAnsi="Seaford"/>
          <w:sz w:val="24"/>
          <w:szCs w:val="24"/>
        </w:rPr>
        <w:t xml:space="preserve"> Century being linked to ‘wrongness’ and ‘perv</w:t>
      </w:r>
      <w:r>
        <w:rPr>
          <w:rFonts w:ascii="Seaford" w:hAnsi="Seaford"/>
          <w:sz w:val="24"/>
          <w:szCs w:val="24"/>
        </w:rPr>
        <w:t>er</w:t>
      </w:r>
      <w:r w:rsidR="00F21125">
        <w:rPr>
          <w:rFonts w:ascii="Seaford" w:hAnsi="Seaford"/>
          <w:sz w:val="24"/>
          <w:szCs w:val="24"/>
        </w:rPr>
        <w:t xml:space="preserve">sion’. </w:t>
      </w:r>
    </w:p>
    <w:p w14:paraId="71D09E76" w14:textId="326999A3" w:rsidR="00F21125" w:rsidRDefault="00F21125">
      <w:pPr>
        <w:rPr>
          <w:rFonts w:ascii="Seaford" w:hAnsi="Seaford"/>
          <w:sz w:val="24"/>
          <w:szCs w:val="24"/>
          <w:u w:val="single"/>
        </w:rPr>
      </w:pPr>
      <w:r>
        <w:rPr>
          <w:rFonts w:ascii="Seaford" w:hAnsi="Seaford"/>
          <w:sz w:val="24"/>
          <w:szCs w:val="24"/>
        </w:rPr>
        <w:t xml:space="preserve">The 1980s saw Activists from the LGBT community to reclaim the word and title. Which is where in 2022, </w:t>
      </w:r>
      <w:r>
        <w:rPr>
          <w:rFonts w:ascii="Seaford" w:hAnsi="Seaford"/>
          <w:i/>
          <w:iCs/>
          <w:sz w:val="24"/>
          <w:szCs w:val="24"/>
          <w:u w:val="single"/>
        </w:rPr>
        <w:t>Queer</w:t>
      </w:r>
      <w:r>
        <w:rPr>
          <w:rFonts w:ascii="Seaford" w:hAnsi="Seaford"/>
          <w:sz w:val="24"/>
          <w:szCs w:val="24"/>
          <w:u w:val="single"/>
        </w:rPr>
        <w:t xml:space="preserve"> </w:t>
      </w:r>
      <w:r>
        <w:rPr>
          <w:rFonts w:ascii="Seaford" w:hAnsi="Seaford"/>
          <w:sz w:val="24"/>
          <w:szCs w:val="24"/>
        </w:rPr>
        <w:t>is a board spectrum term</w:t>
      </w:r>
      <w:r w:rsidR="00023A6A">
        <w:rPr>
          <w:rFonts w:ascii="Seaford" w:hAnsi="Seaford"/>
          <w:sz w:val="24"/>
          <w:szCs w:val="24"/>
        </w:rPr>
        <w:t xml:space="preserve"> that includes sexualities and/or gender identities, histories, politics, and practices that exist outside of the heteronormative agenda. </w:t>
      </w:r>
    </w:p>
    <w:p w14:paraId="3D6C7F5A" w14:textId="77777777" w:rsidR="008526F3" w:rsidRDefault="008526F3">
      <w:pPr>
        <w:rPr>
          <w:rFonts w:ascii="Seaford" w:hAnsi="Seaford"/>
          <w:sz w:val="24"/>
          <w:szCs w:val="24"/>
          <w:u w:val="single"/>
        </w:rPr>
      </w:pPr>
    </w:p>
    <w:p w14:paraId="013DA228" w14:textId="171C8D7C" w:rsidR="00F71016" w:rsidRDefault="00F71016">
      <w:pPr>
        <w:rPr>
          <w:rFonts w:ascii="Seaford" w:hAnsi="Seaford"/>
          <w:sz w:val="24"/>
          <w:szCs w:val="24"/>
          <w:u w:val="single"/>
        </w:rPr>
      </w:pPr>
      <w:r>
        <w:rPr>
          <w:rFonts w:ascii="Seaford" w:hAnsi="Seaford"/>
          <w:sz w:val="24"/>
          <w:szCs w:val="24"/>
          <w:u w:val="single"/>
        </w:rPr>
        <w:lastRenderedPageBreak/>
        <w:t>A History of Queer Studies</w:t>
      </w:r>
    </w:p>
    <w:p w14:paraId="322AF7D9" w14:textId="77777777" w:rsidR="00460B69" w:rsidRDefault="00023A6A" w:rsidP="00460B69">
      <w:pPr>
        <w:rPr>
          <w:rFonts w:ascii="Seaford" w:hAnsi="Seaford"/>
          <w:sz w:val="24"/>
          <w:szCs w:val="24"/>
        </w:rPr>
      </w:pPr>
      <w:r>
        <w:rPr>
          <w:rFonts w:ascii="Seaford" w:hAnsi="Seaford"/>
          <w:sz w:val="24"/>
          <w:szCs w:val="24"/>
        </w:rPr>
        <w:t xml:space="preserve">Queer Studies was originally created to center on LGBT history and literary theory. </w:t>
      </w:r>
      <w:r w:rsidR="00460B69">
        <w:rPr>
          <w:rFonts w:ascii="Seaford" w:hAnsi="Seaford"/>
          <w:sz w:val="24"/>
          <w:szCs w:val="24"/>
        </w:rPr>
        <w:t xml:space="preserve">Today it now includes all academic disciplines and fields in the examination of identity, lives, history, and perception of queer people. </w:t>
      </w:r>
    </w:p>
    <w:p w14:paraId="54B74078" w14:textId="35731F5E" w:rsidR="00F71016" w:rsidRDefault="00023A6A">
      <w:pPr>
        <w:rPr>
          <w:rFonts w:ascii="Seaford" w:hAnsi="Seaford"/>
          <w:sz w:val="24"/>
          <w:szCs w:val="24"/>
        </w:rPr>
      </w:pPr>
      <w:r>
        <w:rPr>
          <w:rFonts w:ascii="Seaford" w:hAnsi="Seaford"/>
          <w:sz w:val="24"/>
          <w:szCs w:val="24"/>
        </w:rPr>
        <w:t xml:space="preserve">Mildred Berryman’s 1930’s “The Psychological Phenomena of the Homosexual” is a seminal text in the academic focus on the Queer Community. In 1970, UC Berkeley held the first Undergraduate course on LGBTQ history. City University of New York created the first Gay and Lesbian Studies Program which started in 1986. Three years later, City College of San Francisco, established the first Gay and Lesbian Studies Department. </w:t>
      </w:r>
    </w:p>
    <w:p w14:paraId="12C5A075" w14:textId="2172C4A8" w:rsidR="00460B69" w:rsidRDefault="00460B69">
      <w:pPr>
        <w:rPr>
          <w:rFonts w:ascii="Seaford" w:hAnsi="Seaford"/>
          <w:sz w:val="24"/>
          <w:szCs w:val="24"/>
        </w:rPr>
      </w:pPr>
      <w:r>
        <w:rPr>
          <w:rFonts w:ascii="Seaford" w:hAnsi="Seaford"/>
          <w:sz w:val="24"/>
          <w:szCs w:val="24"/>
        </w:rPr>
        <w:t xml:space="preserve">Now, countless universities and colleges host Queer Studies, Gender Studies, and Sexualities Studies programs, departments, majors, and minors. </w:t>
      </w:r>
    </w:p>
    <w:p w14:paraId="6EA62E41" w14:textId="77777777" w:rsidR="008526F3" w:rsidRDefault="008526F3">
      <w:pPr>
        <w:rPr>
          <w:rFonts w:ascii="Seaford" w:hAnsi="Seaford"/>
          <w:sz w:val="24"/>
          <w:szCs w:val="24"/>
          <w:u w:val="single"/>
        </w:rPr>
      </w:pPr>
    </w:p>
    <w:p w14:paraId="44676E4D" w14:textId="065E671B" w:rsidR="00023A6A" w:rsidRDefault="00460B69">
      <w:pPr>
        <w:rPr>
          <w:rFonts w:ascii="Seaford" w:hAnsi="Seaford"/>
          <w:sz w:val="24"/>
          <w:szCs w:val="24"/>
          <w:u w:val="single"/>
        </w:rPr>
      </w:pPr>
      <w:r>
        <w:rPr>
          <w:rFonts w:ascii="Seaford" w:hAnsi="Seaford"/>
          <w:sz w:val="24"/>
          <w:szCs w:val="24"/>
          <w:u w:val="single"/>
        </w:rPr>
        <w:t>Naming and Pronouns</w:t>
      </w:r>
    </w:p>
    <w:p w14:paraId="46F29DF2" w14:textId="3DFC7AD5" w:rsidR="006812CA" w:rsidRDefault="006812CA">
      <w:pPr>
        <w:rPr>
          <w:rFonts w:ascii="Seaford" w:hAnsi="Seaford"/>
          <w:sz w:val="24"/>
          <w:szCs w:val="24"/>
        </w:rPr>
      </w:pPr>
      <w:r w:rsidRPr="006812CA">
        <w:rPr>
          <w:rFonts w:ascii="Seaford" w:hAnsi="Seaford"/>
          <w:sz w:val="24"/>
          <w:szCs w:val="24"/>
        </w:rPr>
        <w:t xml:space="preserve">Many people might go by a name in daily life that is different from their legal name. In </w:t>
      </w:r>
      <w:r>
        <w:rPr>
          <w:rFonts w:ascii="Seaford" w:hAnsi="Seaford"/>
          <w:sz w:val="24"/>
          <w:szCs w:val="24"/>
        </w:rPr>
        <w:t xml:space="preserve">creating safe and inclusive spaces, </w:t>
      </w:r>
      <w:r w:rsidRPr="006812CA">
        <w:rPr>
          <w:rFonts w:ascii="Seaford" w:hAnsi="Seaford"/>
          <w:sz w:val="24"/>
          <w:szCs w:val="24"/>
        </w:rPr>
        <w:t>we seek to refer to people by the names that they go by. Pronouns can be a way to affirm someone's gender identity, but they can also be unrelated to a person's identity.</w:t>
      </w:r>
      <w:r w:rsidRPr="006812CA">
        <w:t xml:space="preserve"> </w:t>
      </w:r>
      <w:r w:rsidRPr="006812CA">
        <w:rPr>
          <w:rFonts w:ascii="Seaford" w:hAnsi="Seaford"/>
          <w:sz w:val="24"/>
          <w:szCs w:val="24"/>
        </w:rPr>
        <w:t>Additionally, how you identify in terms of your gender, race, class, sexuality, religion, and dis/ability, among all aspects of your identity, is your choice whether to disclose (</w:t>
      </w:r>
      <w:r w:rsidR="000E46A3" w:rsidRPr="006812CA">
        <w:rPr>
          <w:rFonts w:ascii="Seaford" w:hAnsi="Seaford"/>
          <w:sz w:val="24"/>
          <w:szCs w:val="24"/>
        </w:rPr>
        <w:t>e.g.,</w:t>
      </w:r>
      <w:r w:rsidRPr="006812CA">
        <w:rPr>
          <w:rFonts w:ascii="Seaford" w:hAnsi="Seaford"/>
          <w:sz w:val="24"/>
          <w:szCs w:val="24"/>
        </w:rPr>
        <w:t xml:space="preserve"> should it come up in classroom conversation about our experiences and perspectives) and should be self-identified, not presumed or imposed.</w:t>
      </w:r>
      <w:r>
        <w:rPr>
          <w:rStyle w:val="FootnoteReference"/>
          <w:rFonts w:ascii="Seaford" w:hAnsi="Seaford"/>
          <w:sz w:val="24"/>
          <w:szCs w:val="24"/>
        </w:rPr>
        <w:footnoteReference w:id="2"/>
      </w:r>
    </w:p>
    <w:p w14:paraId="24BFFD80" w14:textId="42DD82E0" w:rsidR="00460B69" w:rsidRDefault="00EF50D8">
      <w:pPr>
        <w:rPr>
          <w:rFonts w:ascii="Seaford" w:hAnsi="Seaford"/>
          <w:sz w:val="24"/>
          <w:szCs w:val="24"/>
        </w:rPr>
      </w:pPr>
      <w:r>
        <w:rPr>
          <w:rFonts w:ascii="Seaford" w:hAnsi="Seaford"/>
          <w:sz w:val="24"/>
          <w:szCs w:val="24"/>
        </w:rPr>
        <w:t xml:space="preserve">Simple Practice: Ask a person their name and how they would like to be addressed. You can even include it into how you introduce yourself. </w:t>
      </w:r>
    </w:p>
    <w:p w14:paraId="7499898E" w14:textId="1F7B618D" w:rsidR="00EF50D8" w:rsidRDefault="00EF50D8">
      <w:pPr>
        <w:rPr>
          <w:rFonts w:ascii="Seaford" w:hAnsi="Seaford"/>
          <w:sz w:val="24"/>
          <w:szCs w:val="24"/>
        </w:rPr>
      </w:pPr>
      <w:r>
        <w:rPr>
          <w:rFonts w:ascii="Seaford" w:hAnsi="Seaford"/>
          <w:sz w:val="24"/>
          <w:szCs w:val="24"/>
        </w:rPr>
        <w:t xml:space="preserve">Example: </w:t>
      </w:r>
      <w:r w:rsidR="006812CA">
        <w:rPr>
          <w:rFonts w:ascii="Seaford" w:hAnsi="Seaford"/>
          <w:sz w:val="24"/>
          <w:szCs w:val="24"/>
        </w:rPr>
        <w:t>“</w:t>
      </w:r>
      <w:r>
        <w:rPr>
          <w:rFonts w:ascii="Seaford" w:hAnsi="Seaford"/>
          <w:sz w:val="24"/>
          <w:szCs w:val="24"/>
        </w:rPr>
        <w:t xml:space="preserve">Hi, </w:t>
      </w:r>
      <w:r w:rsidR="000E46A3">
        <w:rPr>
          <w:rFonts w:ascii="Seaford" w:hAnsi="Seaford"/>
          <w:sz w:val="24"/>
          <w:szCs w:val="24"/>
        </w:rPr>
        <w:t>my</w:t>
      </w:r>
      <w:r>
        <w:rPr>
          <w:rFonts w:ascii="Seaford" w:hAnsi="Seaford"/>
          <w:sz w:val="24"/>
          <w:szCs w:val="24"/>
        </w:rPr>
        <w:t xml:space="preserve"> name is </w:t>
      </w:r>
      <w:r w:rsidR="000E46A3">
        <w:rPr>
          <w:rFonts w:ascii="Seaford" w:hAnsi="Seaford"/>
          <w:sz w:val="24"/>
          <w:szCs w:val="24"/>
        </w:rPr>
        <w:t>Anjeanette,</w:t>
      </w:r>
      <w:r>
        <w:rPr>
          <w:rFonts w:ascii="Seaford" w:hAnsi="Seaford"/>
          <w:sz w:val="24"/>
          <w:szCs w:val="24"/>
        </w:rPr>
        <w:t xml:space="preserve"> and my pronouns are She/Her. What is your name?</w:t>
      </w:r>
      <w:r w:rsidR="006812CA">
        <w:rPr>
          <w:rFonts w:ascii="Seaford" w:hAnsi="Seaford"/>
          <w:sz w:val="24"/>
          <w:szCs w:val="24"/>
        </w:rPr>
        <w:t>”</w:t>
      </w:r>
    </w:p>
    <w:p w14:paraId="456F91B8" w14:textId="77777777" w:rsidR="008526F3" w:rsidRDefault="008526F3">
      <w:pPr>
        <w:rPr>
          <w:rFonts w:ascii="Seaford" w:hAnsi="Seaford"/>
          <w:sz w:val="24"/>
          <w:szCs w:val="24"/>
          <w:u w:val="single"/>
        </w:rPr>
      </w:pPr>
    </w:p>
    <w:p w14:paraId="6C34E2EE" w14:textId="318E9179" w:rsidR="00C5759E" w:rsidRDefault="00C5759E">
      <w:pPr>
        <w:rPr>
          <w:rFonts w:ascii="Seaford" w:hAnsi="Seaford"/>
          <w:sz w:val="24"/>
          <w:szCs w:val="24"/>
          <w:u w:val="single"/>
        </w:rPr>
      </w:pPr>
      <w:r>
        <w:rPr>
          <w:rFonts w:ascii="Seaford" w:hAnsi="Seaford"/>
          <w:sz w:val="24"/>
          <w:szCs w:val="24"/>
          <w:u w:val="single"/>
        </w:rPr>
        <w:t>On My Reading List:</w:t>
      </w:r>
    </w:p>
    <w:p w14:paraId="1C4F19E8" w14:textId="77777777" w:rsidR="00F21125" w:rsidRDefault="00F21125" w:rsidP="00F21125">
      <w:pPr>
        <w:pStyle w:val="NormalWeb"/>
        <w:ind w:left="567" w:hanging="567"/>
      </w:pPr>
      <w:r>
        <w:t xml:space="preserve">Barker, Meg-John, and Julia Scheele. </w:t>
      </w:r>
      <w:r>
        <w:rPr>
          <w:i/>
          <w:iCs/>
        </w:rPr>
        <w:t>Queer: A Graphic History</w:t>
      </w:r>
      <w:r>
        <w:t xml:space="preserve">. Icon, 2016. </w:t>
      </w:r>
    </w:p>
    <w:p w14:paraId="21A1AC14" w14:textId="77777777" w:rsidR="00F21125" w:rsidRDefault="00F21125" w:rsidP="00F21125">
      <w:pPr>
        <w:pStyle w:val="NormalWeb"/>
        <w:ind w:left="567" w:hanging="567"/>
      </w:pPr>
      <w:r>
        <w:t xml:space="preserve">Cartier, Marie. </w:t>
      </w:r>
      <w:r>
        <w:rPr>
          <w:i/>
          <w:iCs/>
        </w:rPr>
        <w:t>Baby, You Are My Religion: Women, Gay Bars, and Theology before Stonewall</w:t>
      </w:r>
      <w:r>
        <w:t xml:space="preserve">. Routledge, Taylor &amp; Francis Group, 2014. </w:t>
      </w:r>
    </w:p>
    <w:p w14:paraId="52534A17" w14:textId="77777777" w:rsidR="00F21125" w:rsidRDefault="00F21125" w:rsidP="00F21125">
      <w:pPr>
        <w:pStyle w:val="NormalWeb"/>
        <w:ind w:left="567" w:hanging="567"/>
      </w:pPr>
      <w:r>
        <w:lastRenderedPageBreak/>
        <w:t xml:space="preserve">Dabiri, Emma. </w:t>
      </w:r>
      <w:r>
        <w:rPr>
          <w:i/>
          <w:iCs/>
        </w:rPr>
        <w:t>What White People Can Do next: From Allyship to Coalition</w:t>
      </w:r>
      <w:r>
        <w:t xml:space="preserve">. Harper Perennial, 2021. </w:t>
      </w:r>
    </w:p>
    <w:p w14:paraId="604E317D" w14:textId="77777777" w:rsidR="00F21125" w:rsidRDefault="00F21125" w:rsidP="00F21125">
      <w:pPr>
        <w:pStyle w:val="NormalWeb"/>
        <w:ind w:left="567" w:hanging="567"/>
      </w:pPr>
      <w:r>
        <w:t xml:space="preserve">Shlasko, Davey, and Kai Hofius. </w:t>
      </w:r>
      <w:r>
        <w:rPr>
          <w:i/>
          <w:iCs/>
        </w:rPr>
        <w:t>Trans Allyship Workbook: Building Skills to Support Trans People in Our Lives</w:t>
      </w:r>
      <w:r>
        <w:t xml:space="preserve">. Think Again Training, 2017. </w:t>
      </w:r>
    </w:p>
    <w:p w14:paraId="32CD8026" w14:textId="77777777" w:rsidR="00F21125" w:rsidRDefault="00F21125" w:rsidP="00F21125">
      <w:pPr>
        <w:pStyle w:val="NormalWeb"/>
        <w:ind w:left="567" w:hanging="567"/>
      </w:pPr>
      <w:r>
        <w:t xml:space="preserve">Wilcox, Melissa M. </w:t>
      </w:r>
      <w:r>
        <w:rPr>
          <w:i/>
          <w:iCs/>
        </w:rPr>
        <w:t>Queer Religiosities: An Introduction to Queer and Transgender Studies in Religion</w:t>
      </w:r>
      <w:r>
        <w:t xml:space="preserve">. Rowman and Littlefield, 2021. </w:t>
      </w:r>
    </w:p>
    <w:p w14:paraId="099B4ABA" w14:textId="77777777" w:rsidR="008526F3" w:rsidRDefault="008526F3">
      <w:pPr>
        <w:rPr>
          <w:rFonts w:ascii="Seaford" w:hAnsi="Seaford"/>
          <w:sz w:val="24"/>
          <w:szCs w:val="24"/>
          <w:u w:val="single"/>
        </w:rPr>
      </w:pPr>
    </w:p>
    <w:p w14:paraId="671E4C83" w14:textId="6436139D" w:rsidR="00BA3FAE" w:rsidRPr="00BA3FAE" w:rsidRDefault="00BA3FAE">
      <w:pPr>
        <w:rPr>
          <w:rFonts w:ascii="Seaford" w:hAnsi="Seaford"/>
          <w:sz w:val="24"/>
          <w:szCs w:val="24"/>
          <w:u w:val="single"/>
        </w:rPr>
      </w:pPr>
      <w:r w:rsidRPr="00BA3FAE">
        <w:rPr>
          <w:rFonts w:ascii="Seaford" w:hAnsi="Seaford"/>
          <w:sz w:val="24"/>
          <w:szCs w:val="24"/>
          <w:u w:val="single"/>
        </w:rPr>
        <w:t>Workshop Questions</w:t>
      </w:r>
      <w:r w:rsidR="00271DF9">
        <w:rPr>
          <w:rFonts w:ascii="Seaford" w:hAnsi="Seaford"/>
          <w:sz w:val="24"/>
          <w:szCs w:val="24"/>
          <w:u w:val="single"/>
        </w:rPr>
        <w:t>:</w:t>
      </w:r>
    </w:p>
    <w:p w14:paraId="1487B2F9" w14:textId="34E9AE75" w:rsidR="00BA3FAE" w:rsidRDefault="00BA3FAE">
      <w:pPr>
        <w:rPr>
          <w:rFonts w:ascii="Seaford" w:hAnsi="Seaford"/>
          <w:sz w:val="24"/>
          <w:szCs w:val="24"/>
        </w:rPr>
      </w:pPr>
    </w:p>
    <w:p w14:paraId="03D69A98" w14:textId="577FDD7F" w:rsidR="00BA3FAE" w:rsidRDefault="00BA3FAE">
      <w:pPr>
        <w:rPr>
          <w:rFonts w:ascii="Seaford" w:hAnsi="Seaford"/>
          <w:sz w:val="24"/>
          <w:szCs w:val="24"/>
        </w:rPr>
      </w:pPr>
      <w:r>
        <w:rPr>
          <w:rFonts w:ascii="Seaford" w:hAnsi="Seaford"/>
          <w:sz w:val="24"/>
          <w:szCs w:val="24"/>
        </w:rPr>
        <w:t>What does it mean to create a safe and inclusive space? (academy</w:t>
      </w:r>
      <w:r w:rsidR="00A40BC5">
        <w:rPr>
          <w:rFonts w:ascii="Seaford" w:hAnsi="Seaford"/>
          <w:sz w:val="24"/>
          <w:szCs w:val="24"/>
        </w:rPr>
        <w:t>,</w:t>
      </w:r>
      <w:r>
        <w:rPr>
          <w:rFonts w:ascii="Seaford" w:hAnsi="Seaford"/>
          <w:sz w:val="24"/>
          <w:szCs w:val="24"/>
        </w:rPr>
        <w:t xml:space="preserve"> society</w:t>
      </w:r>
      <w:r w:rsidR="00A40BC5">
        <w:rPr>
          <w:rFonts w:ascii="Seaford" w:hAnsi="Seaford"/>
          <w:sz w:val="24"/>
          <w:szCs w:val="24"/>
        </w:rPr>
        <w:t>, etc.</w:t>
      </w:r>
      <w:r>
        <w:rPr>
          <w:rFonts w:ascii="Seaford" w:hAnsi="Seaford"/>
          <w:sz w:val="24"/>
          <w:szCs w:val="24"/>
        </w:rPr>
        <w:t>)</w:t>
      </w:r>
    </w:p>
    <w:p w14:paraId="1BD61844" w14:textId="7F6DBA5F" w:rsidR="00BA3FAE" w:rsidRDefault="00BA3FAE">
      <w:pPr>
        <w:rPr>
          <w:rFonts w:ascii="Seaford" w:hAnsi="Seaford"/>
          <w:sz w:val="24"/>
          <w:szCs w:val="24"/>
        </w:rPr>
      </w:pPr>
    </w:p>
    <w:p w14:paraId="2F93CE44" w14:textId="3434A80F" w:rsidR="00BA3FAE" w:rsidRDefault="00BA3FAE">
      <w:pPr>
        <w:rPr>
          <w:rFonts w:ascii="Seaford" w:hAnsi="Seaford"/>
          <w:sz w:val="24"/>
          <w:szCs w:val="24"/>
        </w:rPr>
      </w:pPr>
      <w:r>
        <w:rPr>
          <w:rFonts w:ascii="Seaford" w:hAnsi="Seaford"/>
          <w:sz w:val="24"/>
          <w:szCs w:val="24"/>
        </w:rPr>
        <w:t>Why does language matter?</w:t>
      </w:r>
    </w:p>
    <w:p w14:paraId="63200AE2" w14:textId="5F4E6C39" w:rsidR="00BA3FAE" w:rsidRDefault="00BA3FAE">
      <w:pPr>
        <w:rPr>
          <w:rFonts w:ascii="Seaford" w:hAnsi="Seaford"/>
          <w:sz w:val="24"/>
          <w:szCs w:val="24"/>
        </w:rPr>
      </w:pPr>
    </w:p>
    <w:p w14:paraId="5E9AA4AA" w14:textId="5E769103" w:rsidR="00BA3FAE" w:rsidRDefault="00BA3FAE">
      <w:pPr>
        <w:rPr>
          <w:rFonts w:ascii="Seaford" w:hAnsi="Seaford"/>
          <w:sz w:val="24"/>
          <w:szCs w:val="24"/>
        </w:rPr>
      </w:pPr>
      <w:r>
        <w:rPr>
          <w:rFonts w:ascii="Seaford" w:hAnsi="Seaford"/>
          <w:sz w:val="24"/>
          <w:szCs w:val="24"/>
        </w:rPr>
        <w:t xml:space="preserve">How do you define allyship or advocacy? </w:t>
      </w:r>
    </w:p>
    <w:p w14:paraId="05A6077F" w14:textId="4D7A39B9" w:rsidR="00BA3FAE" w:rsidRDefault="00BA3FAE">
      <w:pPr>
        <w:rPr>
          <w:rFonts w:ascii="Seaford" w:hAnsi="Seaford"/>
          <w:sz w:val="24"/>
          <w:szCs w:val="24"/>
        </w:rPr>
      </w:pPr>
    </w:p>
    <w:p w14:paraId="65055CF3" w14:textId="4E0B3B21" w:rsidR="00BA3FAE" w:rsidRDefault="00FA1CD5">
      <w:pPr>
        <w:rPr>
          <w:rFonts w:ascii="Seaford" w:hAnsi="Seaford"/>
          <w:sz w:val="24"/>
          <w:szCs w:val="24"/>
        </w:rPr>
      </w:pPr>
      <w:r>
        <w:rPr>
          <w:rFonts w:ascii="Seaford" w:hAnsi="Seaford"/>
          <w:sz w:val="24"/>
          <w:szCs w:val="24"/>
        </w:rPr>
        <w:t xml:space="preserve">Speaking out in an environment of “cancel culture:” What questions would you ask about disability studies and religion if you weren’t afraid of being canceled? </w:t>
      </w:r>
    </w:p>
    <w:p w14:paraId="1FE83822" w14:textId="2ABE2D58" w:rsidR="00FA1CD5" w:rsidRDefault="00FA1CD5">
      <w:pPr>
        <w:rPr>
          <w:rFonts w:ascii="Seaford" w:hAnsi="Seaford"/>
          <w:sz w:val="24"/>
          <w:szCs w:val="24"/>
        </w:rPr>
      </w:pPr>
    </w:p>
    <w:p w14:paraId="5CDE5D43" w14:textId="79717324" w:rsidR="00FA1CD5" w:rsidRDefault="00FA1CD5">
      <w:pPr>
        <w:rPr>
          <w:rFonts w:ascii="Seaford" w:hAnsi="Seaford"/>
          <w:sz w:val="24"/>
          <w:szCs w:val="24"/>
        </w:rPr>
      </w:pPr>
      <w:r>
        <w:rPr>
          <w:rFonts w:ascii="Seaford" w:hAnsi="Seaford"/>
          <w:sz w:val="24"/>
          <w:szCs w:val="24"/>
        </w:rPr>
        <w:t>What happens when scholars disagree? (Defined categories, terms, identities, methodolog</w:t>
      </w:r>
      <w:r w:rsidR="004D4BCF">
        <w:rPr>
          <w:rFonts w:ascii="Seaford" w:hAnsi="Seaford"/>
          <w:sz w:val="24"/>
          <w:szCs w:val="24"/>
        </w:rPr>
        <w:t>ies</w:t>
      </w:r>
      <w:r>
        <w:rPr>
          <w:rFonts w:ascii="Seaford" w:hAnsi="Seaford"/>
          <w:sz w:val="24"/>
          <w:szCs w:val="24"/>
        </w:rPr>
        <w:t>, pedagog</w:t>
      </w:r>
      <w:r w:rsidR="004D4BCF">
        <w:rPr>
          <w:rFonts w:ascii="Seaford" w:hAnsi="Seaford"/>
          <w:sz w:val="24"/>
          <w:szCs w:val="24"/>
        </w:rPr>
        <w:t>ies)</w:t>
      </w:r>
    </w:p>
    <w:p w14:paraId="025436AD" w14:textId="77777777" w:rsidR="005A575B" w:rsidRPr="002401D9" w:rsidRDefault="005A575B">
      <w:pPr>
        <w:rPr>
          <w:rFonts w:ascii="Seaford" w:hAnsi="Seaford"/>
          <w:sz w:val="24"/>
          <w:szCs w:val="24"/>
        </w:rPr>
      </w:pPr>
    </w:p>
    <w:sectPr w:rsidR="005A575B" w:rsidRPr="002401D9" w:rsidSect="00E065DB">
      <w:headerReference w:type="default" r:id="rId11"/>
      <w:footerReference w:type="default" r:id="rId12"/>
      <w:pgSz w:w="12240" w:h="15840"/>
      <w:pgMar w:top="1440" w:right="1440" w:bottom="1440" w:left="1440" w:header="720" w:footer="720" w:gutter="0"/>
      <w:pgBorders w:offsetFrom="page">
        <w:top w:val="dotDotDash" w:sz="4" w:space="24" w:color="auto"/>
        <w:left w:val="dotDotDash" w:sz="4" w:space="24" w:color="auto"/>
        <w:bottom w:val="dotDotDash" w:sz="4" w:space="24" w:color="auto"/>
        <w:right w:val="dotDotDash"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A2E0F" w14:textId="77777777" w:rsidR="003F78C5" w:rsidRDefault="003F78C5" w:rsidP="00E065DB">
      <w:pPr>
        <w:spacing w:after="0" w:line="240" w:lineRule="auto"/>
      </w:pPr>
      <w:r>
        <w:separator/>
      </w:r>
    </w:p>
  </w:endnote>
  <w:endnote w:type="continuationSeparator" w:id="0">
    <w:p w14:paraId="0F852F67" w14:textId="77777777" w:rsidR="003F78C5" w:rsidRDefault="003F78C5" w:rsidP="00E06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aford">
    <w:altName w:val="Seaford"/>
    <w:charset w:val="00"/>
    <w:family w:val="auto"/>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253379"/>
      <w:docPartObj>
        <w:docPartGallery w:val="Page Numbers (Bottom of Page)"/>
        <w:docPartUnique/>
      </w:docPartObj>
    </w:sdtPr>
    <w:sdtEndPr>
      <w:rPr>
        <w:noProof/>
      </w:rPr>
    </w:sdtEndPr>
    <w:sdtContent>
      <w:p w14:paraId="112BBC9F" w14:textId="6D849173" w:rsidR="00E065DB" w:rsidRDefault="00E065DB">
        <w:pPr>
          <w:pStyle w:val="Footer"/>
        </w:pPr>
        <w:r>
          <w:fldChar w:fldCharType="begin"/>
        </w:r>
        <w:r>
          <w:instrText xml:space="preserve"> PAGE   \* MERGEFORMAT </w:instrText>
        </w:r>
        <w:r>
          <w:fldChar w:fldCharType="separate"/>
        </w:r>
        <w:r>
          <w:rPr>
            <w:noProof/>
          </w:rPr>
          <w:t>2</w:t>
        </w:r>
        <w:r>
          <w:rPr>
            <w:noProof/>
          </w:rPr>
          <w:fldChar w:fldCharType="end"/>
        </w:r>
      </w:p>
    </w:sdtContent>
  </w:sdt>
  <w:p w14:paraId="383765EE" w14:textId="77777777" w:rsidR="00E065DB" w:rsidRDefault="00E06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05415" w14:textId="77777777" w:rsidR="003F78C5" w:rsidRDefault="003F78C5" w:rsidP="00E065DB">
      <w:pPr>
        <w:spacing w:after="0" w:line="240" w:lineRule="auto"/>
      </w:pPr>
      <w:r>
        <w:separator/>
      </w:r>
    </w:p>
  </w:footnote>
  <w:footnote w:type="continuationSeparator" w:id="0">
    <w:p w14:paraId="1208984D" w14:textId="77777777" w:rsidR="003F78C5" w:rsidRDefault="003F78C5" w:rsidP="00E065DB">
      <w:pPr>
        <w:spacing w:after="0" w:line="240" w:lineRule="auto"/>
      </w:pPr>
      <w:r>
        <w:continuationSeparator/>
      </w:r>
    </w:p>
  </w:footnote>
  <w:footnote w:id="1">
    <w:p w14:paraId="3C8AE71A" w14:textId="77777777" w:rsidR="00CB2B62" w:rsidRDefault="00CB2B62">
      <w:pPr>
        <w:pStyle w:val="FootnoteText"/>
        <w:rPr>
          <w:rFonts w:ascii="Seaford" w:hAnsi="Seaford"/>
        </w:rPr>
      </w:pPr>
      <w:r>
        <w:rPr>
          <w:rStyle w:val="FootnoteReference"/>
        </w:rPr>
        <w:footnoteRef/>
      </w:r>
      <w:r>
        <w:t xml:space="preserve"> </w:t>
      </w:r>
      <w:r w:rsidRPr="00CB2B62">
        <w:rPr>
          <w:rFonts w:ascii="Seaford" w:hAnsi="Seaford"/>
        </w:rPr>
        <w:t xml:space="preserve">“Introduction to the Americans with Disabilities Act,” </w:t>
      </w:r>
      <w:r w:rsidRPr="00CB2B62">
        <w:rPr>
          <w:rFonts w:ascii="Seaford" w:hAnsi="Seaford"/>
          <w:i/>
          <w:iCs/>
        </w:rPr>
        <w:t>U.S. Department of Justice</w:t>
      </w:r>
      <w:r w:rsidRPr="00CB2B62">
        <w:rPr>
          <w:rFonts w:ascii="Seaford" w:hAnsi="Seaford"/>
        </w:rPr>
        <w:t xml:space="preserve">, Civil Rights Division, </w:t>
      </w:r>
    </w:p>
    <w:p w14:paraId="7B09E295" w14:textId="1F849668" w:rsidR="00CB2B62" w:rsidRDefault="00CB2B62" w:rsidP="00CB2B62">
      <w:pPr>
        <w:pStyle w:val="FootnoteText"/>
        <w:ind w:firstLine="720"/>
      </w:pPr>
      <w:r w:rsidRPr="00CB2B62">
        <w:rPr>
          <w:rFonts w:ascii="Seaford" w:hAnsi="Seaford"/>
        </w:rPr>
        <w:t>accessed March 14, 2022, beta.ada.gov/topics/into-to-ada/.</w:t>
      </w:r>
      <w:r w:rsidRPr="00CB2B62">
        <w:t xml:space="preserve">  </w:t>
      </w:r>
    </w:p>
  </w:footnote>
  <w:footnote w:id="2">
    <w:p w14:paraId="7860DD61" w14:textId="0C3520E0" w:rsidR="006812CA" w:rsidRDefault="006812CA">
      <w:pPr>
        <w:pStyle w:val="FootnoteText"/>
      </w:pPr>
      <w:r>
        <w:rPr>
          <w:rStyle w:val="FootnoteReference"/>
        </w:rPr>
        <w:footnoteRef/>
      </w:r>
      <w:r>
        <w:t xml:space="preserve"> </w:t>
      </w:r>
      <w:hyperlink r:id="rId1" w:history="1">
        <w:r w:rsidRPr="00033745">
          <w:rPr>
            <w:rStyle w:val="Hyperlink"/>
          </w:rPr>
          <w:t>https://lgbtq.umd.edu/good-practices-names-and-pronouns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8E03" w14:textId="1ADABA62" w:rsidR="00E065DB" w:rsidRPr="00E065DB" w:rsidRDefault="003F78C5">
    <w:pPr>
      <w:pStyle w:val="Header"/>
      <w:tabs>
        <w:tab w:val="clear" w:pos="4680"/>
        <w:tab w:val="clear" w:pos="9360"/>
      </w:tabs>
      <w:jc w:val="right"/>
      <w:rPr>
        <w:color w:val="421C5E"/>
      </w:rPr>
    </w:pPr>
    <w:sdt>
      <w:sdtPr>
        <w:rPr>
          <w:color w:val="421C5E"/>
        </w:rPr>
        <w:alias w:val="Title"/>
        <w:tag w:val=""/>
        <w:id w:val="664756013"/>
        <w:placeholder>
          <w:docPart w:val="AB5BC5A787524C0482B0AD79105B09FB"/>
        </w:placeholder>
        <w:dataBinding w:prefixMappings="xmlns:ns0='http://purl.org/dc/elements/1.1/' xmlns:ns1='http://schemas.openxmlformats.org/package/2006/metadata/core-properties' " w:xpath="/ns1:coreProperties[1]/ns0:title[1]" w:storeItemID="{6C3C8BC8-F283-45AE-878A-BAB7291924A1}"/>
        <w:text/>
      </w:sdtPr>
      <w:sdtEndPr/>
      <w:sdtContent>
        <w:r w:rsidR="00E065DB" w:rsidRPr="00E065DB">
          <w:rPr>
            <w:color w:val="421C5E"/>
          </w:rPr>
          <w:t>Queer Studies, Disabilities Studies Workshop</w:t>
        </w:r>
      </w:sdtContent>
    </w:sdt>
    <w:r w:rsidR="00E065DB" w:rsidRPr="00E065DB">
      <w:rPr>
        <w:color w:val="421C5E"/>
      </w:rPr>
      <w:t xml:space="preserve"> | </w:t>
    </w:r>
    <w:sdt>
      <w:sdtPr>
        <w:rPr>
          <w:color w:val="421C5E"/>
        </w:rPr>
        <w:alias w:val="Author"/>
        <w:tag w:val=""/>
        <w:id w:val="-1677181147"/>
        <w:placeholder>
          <w:docPart w:val="D40F955BE0B5492B8FAFD963B4C50593"/>
        </w:placeholder>
        <w:dataBinding w:prefixMappings="xmlns:ns0='http://purl.org/dc/elements/1.1/' xmlns:ns1='http://schemas.openxmlformats.org/package/2006/metadata/core-properties' " w:xpath="/ns1:coreProperties[1]/ns0:creator[1]" w:storeItemID="{6C3C8BC8-F283-45AE-878A-BAB7291924A1}"/>
        <w:text/>
      </w:sdtPr>
      <w:sdtEndPr/>
      <w:sdtContent>
        <w:r w:rsidR="00E065DB" w:rsidRPr="00E065DB">
          <w:rPr>
            <w:color w:val="421C5E"/>
          </w:rPr>
          <w:t>Elizabeth</w:t>
        </w:r>
      </w:sdtContent>
    </w:sdt>
    <w:r w:rsidR="00E065DB">
      <w:rPr>
        <w:color w:val="421C5E"/>
      </w:rPr>
      <w:t xml:space="preserve"> Staszak</w:t>
    </w:r>
    <w:r w:rsidR="00F71016">
      <w:rPr>
        <w:color w:val="421C5E"/>
      </w:rPr>
      <w:t xml:space="preserve"> and Anjeanette LeBoeuf</w:t>
    </w:r>
  </w:p>
  <w:p w14:paraId="3EDFAF16" w14:textId="77777777" w:rsidR="00E065DB" w:rsidRDefault="00E06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F34D4"/>
    <w:multiLevelType w:val="multilevel"/>
    <w:tmpl w:val="B7B8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975"/>
    <w:rsid w:val="00023A6A"/>
    <w:rsid w:val="0005124F"/>
    <w:rsid w:val="000A15FA"/>
    <w:rsid w:val="000A3A0D"/>
    <w:rsid w:val="000E46A3"/>
    <w:rsid w:val="000F7556"/>
    <w:rsid w:val="0018585B"/>
    <w:rsid w:val="001E0975"/>
    <w:rsid w:val="002401D9"/>
    <w:rsid w:val="00271DF9"/>
    <w:rsid w:val="002B6E43"/>
    <w:rsid w:val="002E2935"/>
    <w:rsid w:val="003021B4"/>
    <w:rsid w:val="003F78C5"/>
    <w:rsid w:val="00425675"/>
    <w:rsid w:val="00460B69"/>
    <w:rsid w:val="00460D4A"/>
    <w:rsid w:val="004D4BCF"/>
    <w:rsid w:val="00540BED"/>
    <w:rsid w:val="005A575B"/>
    <w:rsid w:val="006257A5"/>
    <w:rsid w:val="006812CA"/>
    <w:rsid w:val="00706D6E"/>
    <w:rsid w:val="00782CB3"/>
    <w:rsid w:val="007C66AE"/>
    <w:rsid w:val="008526F3"/>
    <w:rsid w:val="00902CBD"/>
    <w:rsid w:val="00A40BC5"/>
    <w:rsid w:val="00A7340E"/>
    <w:rsid w:val="00BA3FAE"/>
    <w:rsid w:val="00C03314"/>
    <w:rsid w:val="00C5759E"/>
    <w:rsid w:val="00C85097"/>
    <w:rsid w:val="00CB2B62"/>
    <w:rsid w:val="00D03E28"/>
    <w:rsid w:val="00E065DB"/>
    <w:rsid w:val="00EB16C3"/>
    <w:rsid w:val="00EF50D8"/>
    <w:rsid w:val="00F21125"/>
    <w:rsid w:val="00F71016"/>
    <w:rsid w:val="00F912D7"/>
    <w:rsid w:val="00FA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25F3A"/>
  <w15:chartTrackingRefBased/>
  <w15:docId w15:val="{BC4DD3EF-1EE9-4B96-BFDE-747F09BA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5DB"/>
  </w:style>
  <w:style w:type="paragraph" w:styleId="Footer">
    <w:name w:val="footer"/>
    <w:basedOn w:val="Normal"/>
    <w:link w:val="FooterChar"/>
    <w:uiPriority w:val="99"/>
    <w:unhideWhenUsed/>
    <w:rsid w:val="00E06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5DB"/>
  </w:style>
  <w:style w:type="character" w:styleId="Hyperlink">
    <w:name w:val="Hyperlink"/>
    <w:basedOn w:val="DefaultParagraphFont"/>
    <w:uiPriority w:val="99"/>
    <w:unhideWhenUsed/>
    <w:rsid w:val="00782CB3"/>
    <w:rPr>
      <w:color w:val="0563C1" w:themeColor="hyperlink"/>
      <w:u w:val="single"/>
    </w:rPr>
  </w:style>
  <w:style w:type="character" w:styleId="UnresolvedMention">
    <w:name w:val="Unresolved Mention"/>
    <w:basedOn w:val="DefaultParagraphFont"/>
    <w:uiPriority w:val="99"/>
    <w:semiHidden/>
    <w:unhideWhenUsed/>
    <w:rsid w:val="00782CB3"/>
    <w:rPr>
      <w:color w:val="605E5C"/>
      <w:shd w:val="clear" w:color="auto" w:fill="E1DFDD"/>
    </w:rPr>
  </w:style>
  <w:style w:type="paragraph" w:styleId="FootnoteText">
    <w:name w:val="footnote text"/>
    <w:basedOn w:val="Normal"/>
    <w:link w:val="FootnoteTextChar"/>
    <w:uiPriority w:val="99"/>
    <w:semiHidden/>
    <w:unhideWhenUsed/>
    <w:rsid w:val="00CB2B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B62"/>
    <w:rPr>
      <w:sz w:val="20"/>
      <w:szCs w:val="20"/>
    </w:rPr>
  </w:style>
  <w:style w:type="character" w:styleId="FootnoteReference">
    <w:name w:val="footnote reference"/>
    <w:basedOn w:val="DefaultParagraphFont"/>
    <w:uiPriority w:val="99"/>
    <w:semiHidden/>
    <w:unhideWhenUsed/>
    <w:rsid w:val="00CB2B62"/>
    <w:rPr>
      <w:vertAlign w:val="superscript"/>
    </w:rPr>
  </w:style>
  <w:style w:type="paragraph" w:styleId="NormalWeb">
    <w:name w:val="Normal (Web)"/>
    <w:basedOn w:val="Normal"/>
    <w:uiPriority w:val="99"/>
    <w:semiHidden/>
    <w:unhideWhenUsed/>
    <w:rsid w:val="00F211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2789">
      <w:bodyDiv w:val="1"/>
      <w:marLeft w:val="0"/>
      <w:marRight w:val="0"/>
      <w:marTop w:val="0"/>
      <w:marBottom w:val="0"/>
      <w:divBdr>
        <w:top w:val="none" w:sz="0" w:space="0" w:color="auto"/>
        <w:left w:val="none" w:sz="0" w:space="0" w:color="auto"/>
        <w:bottom w:val="none" w:sz="0" w:space="0" w:color="auto"/>
        <w:right w:val="none" w:sz="0" w:space="0" w:color="auto"/>
      </w:divBdr>
    </w:div>
    <w:div w:id="488642806">
      <w:bodyDiv w:val="1"/>
      <w:marLeft w:val="0"/>
      <w:marRight w:val="0"/>
      <w:marTop w:val="0"/>
      <w:marBottom w:val="0"/>
      <w:divBdr>
        <w:top w:val="none" w:sz="0" w:space="0" w:color="auto"/>
        <w:left w:val="none" w:sz="0" w:space="0" w:color="auto"/>
        <w:bottom w:val="none" w:sz="0" w:space="0" w:color="auto"/>
        <w:right w:val="none" w:sz="0" w:space="0" w:color="auto"/>
      </w:divBdr>
    </w:div>
    <w:div w:id="118825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eta.ada.gov/topics/intro-to-ada/" TargetMode="External"/><Relationship Id="rId4" Type="http://schemas.openxmlformats.org/officeDocument/2006/relationships/settings" Target="settings.xml"/><Relationship Id="rId9" Type="http://schemas.openxmlformats.org/officeDocument/2006/relationships/hyperlink" Target="https://www.atlasobscura.com/articles/504-sit-in-san-francisco-1977-disability-rights-advocacy"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lgbtq.umd.edu/good-practices-names-and-pronou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5BC5A787524C0482B0AD79105B09FB"/>
        <w:category>
          <w:name w:val="General"/>
          <w:gallery w:val="placeholder"/>
        </w:category>
        <w:types>
          <w:type w:val="bbPlcHdr"/>
        </w:types>
        <w:behaviors>
          <w:behavior w:val="content"/>
        </w:behaviors>
        <w:guid w:val="{C6ECD7DB-CA5E-4A94-A155-1C9311372EE0}"/>
      </w:docPartPr>
      <w:docPartBody>
        <w:p w:rsidR="00800662" w:rsidRDefault="00F21693" w:rsidP="00F21693">
          <w:pPr>
            <w:pStyle w:val="AB5BC5A787524C0482B0AD79105B09FB"/>
          </w:pPr>
          <w:r>
            <w:rPr>
              <w:color w:val="4472C4" w:themeColor="accent1"/>
            </w:rPr>
            <w:t>[Document title]</w:t>
          </w:r>
        </w:p>
      </w:docPartBody>
    </w:docPart>
    <w:docPart>
      <w:docPartPr>
        <w:name w:val="D40F955BE0B5492B8FAFD963B4C50593"/>
        <w:category>
          <w:name w:val="General"/>
          <w:gallery w:val="placeholder"/>
        </w:category>
        <w:types>
          <w:type w:val="bbPlcHdr"/>
        </w:types>
        <w:behaviors>
          <w:behavior w:val="content"/>
        </w:behaviors>
        <w:guid w:val="{8EEE35DF-DAD4-481A-917B-006F62F9C746}"/>
      </w:docPartPr>
      <w:docPartBody>
        <w:p w:rsidR="00800662" w:rsidRDefault="00F21693" w:rsidP="00F21693">
          <w:pPr>
            <w:pStyle w:val="D40F955BE0B5492B8FAFD963B4C50593"/>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aford">
    <w:altName w:val="Seaford"/>
    <w:charset w:val="00"/>
    <w:family w:val="auto"/>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93"/>
    <w:rsid w:val="003330A4"/>
    <w:rsid w:val="00660B96"/>
    <w:rsid w:val="00800662"/>
    <w:rsid w:val="00F21693"/>
    <w:rsid w:val="00FB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5BC5A787524C0482B0AD79105B09FB">
    <w:name w:val="AB5BC5A787524C0482B0AD79105B09FB"/>
    <w:rsid w:val="00F21693"/>
  </w:style>
  <w:style w:type="paragraph" w:customStyle="1" w:styleId="D40F955BE0B5492B8FAFD963B4C50593">
    <w:name w:val="D40F955BE0B5492B8FAFD963B4C50593"/>
    <w:rsid w:val="00F216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B8A6F-A7F4-4F15-BD4F-888F9981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Queer Studies, Disabilities Studies Workshop</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Queer Studies, Disabilities Studies Workshop</dc:title>
  <dc:subject/>
  <dc:creator>Elizabeth</dc:creator>
  <cp:keywords/>
  <dc:description/>
  <cp:lastModifiedBy>Anjeanette LeBoeuf</cp:lastModifiedBy>
  <cp:revision>6</cp:revision>
  <dcterms:created xsi:type="dcterms:W3CDTF">2022-03-15T21:43:00Z</dcterms:created>
  <dcterms:modified xsi:type="dcterms:W3CDTF">2022-03-17T21:06:00Z</dcterms:modified>
</cp:coreProperties>
</file>